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2186" w14:textId="77777777" w:rsidR="00090C5C" w:rsidRPr="00090C5C" w:rsidRDefault="00090C5C" w:rsidP="00090C5C">
      <w:pPr>
        <w:jc w:val="both"/>
        <w:rPr>
          <w:b/>
          <w:bCs/>
        </w:rPr>
      </w:pPr>
      <w:r w:rsidRPr="00090C5C">
        <w:rPr>
          <w:b/>
          <w:bCs/>
        </w:rPr>
        <w:t>Tabla de Contenido</w:t>
      </w:r>
    </w:p>
    <w:p w14:paraId="7AA9BCAF" w14:textId="77777777" w:rsidR="00090C5C" w:rsidRPr="00090C5C" w:rsidRDefault="00090C5C" w:rsidP="00090C5C">
      <w:pPr>
        <w:jc w:val="both"/>
        <w:rPr>
          <w:b/>
          <w:bCs/>
        </w:rPr>
      </w:pPr>
      <w:r w:rsidRPr="00090C5C">
        <w:rPr>
          <w:b/>
          <w:bCs/>
        </w:rPr>
        <w:t>Módulo I: Fundamentos y Marco Metodológico del Árbol de Sucesos (ETA)</w:t>
      </w:r>
    </w:p>
    <w:p w14:paraId="48D0CE57" w14:textId="489D185C" w:rsidR="00090C5C" w:rsidRPr="00090C5C" w:rsidRDefault="00090C5C" w:rsidP="00090C5C">
      <w:pPr>
        <w:numPr>
          <w:ilvl w:val="0"/>
          <w:numId w:val="4"/>
        </w:numPr>
        <w:jc w:val="both"/>
      </w:pPr>
      <w:r w:rsidRPr="00090C5C">
        <w:rPr>
          <w:b/>
          <w:bCs/>
        </w:rPr>
        <w:t>Introducción y Portada</w:t>
      </w:r>
    </w:p>
    <w:p w14:paraId="50A9A2CF" w14:textId="33219BCF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Presentación del curso de Análisis de Riesgos y acreditaciones profesionales. </w:t>
      </w:r>
    </w:p>
    <w:p w14:paraId="16D7CF12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Normas y estándares de referencia internacional (ISO/IEC 31010:2019, CCPS / AIChE, IEC 61511). </w:t>
      </w:r>
    </w:p>
    <w:p w14:paraId="6E24D394" w14:textId="77777777" w:rsidR="00090C5C" w:rsidRPr="00090C5C" w:rsidRDefault="00090C5C" w:rsidP="00090C5C">
      <w:pPr>
        <w:numPr>
          <w:ilvl w:val="0"/>
          <w:numId w:val="4"/>
        </w:numPr>
        <w:jc w:val="both"/>
      </w:pPr>
      <w:r w:rsidRPr="00090C5C">
        <w:rPr>
          <w:b/>
          <w:bCs/>
        </w:rPr>
        <w:t>Definición y Objetivos del ETA</w:t>
      </w:r>
    </w:p>
    <w:p w14:paraId="517BBB84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Concepto de árbol de sucesos y modelado de cadenas a partir de un suceso iniciador. </w:t>
      </w:r>
    </w:p>
    <w:p w14:paraId="28AA3031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Diferencias clave frente al Árbol de Fallas (FTA): enfoque inductivo vs. deductivo. </w:t>
      </w:r>
    </w:p>
    <w:p w14:paraId="52277564" w14:textId="77777777" w:rsidR="00090C5C" w:rsidRPr="00090C5C" w:rsidRDefault="00090C5C" w:rsidP="00090C5C">
      <w:pPr>
        <w:numPr>
          <w:ilvl w:val="0"/>
          <w:numId w:val="4"/>
        </w:numPr>
        <w:jc w:val="both"/>
      </w:pPr>
      <w:r w:rsidRPr="00090C5C">
        <w:rPr>
          <w:b/>
          <w:bCs/>
        </w:rPr>
        <w:t>Integración Bow-Tie</w:t>
      </w:r>
    </w:p>
    <w:p w14:paraId="2E1BBEFA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Relación metodológica entre causas (Árbol de Fallas) y consecuencias (Árbol de Sucesos) articuladas en el Evento Tope. </w:t>
      </w:r>
    </w:p>
    <w:p w14:paraId="661C1167" w14:textId="77777777" w:rsidR="00090C5C" w:rsidRPr="00090C5C" w:rsidRDefault="00090C5C" w:rsidP="00090C5C">
      <w:pPr>
        <w:numPr>
          <w:ilvl w:val="0"/>
          <w:numId w:val="4"/>
        </w:numPr>
        <w:jc w:val="both"/>
      </w:pPr>
      <w:r w:rsidRPr="00090C5C">
        <w:rPr>
          <w:b/>
          <w:bCs/>
        </w:rPr>
        <w:t>Campos de Aplicación y Frontera del Accidente</w:t>
      </w:r>
    </w:p>
    <w:p w14:paraId="384F99A5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Enfoque preventivo (</w:t>
      </w:r>
      <w:proofErr w:type="spellStart"/>
      <w:r w:rsidRPr="00090C5C">
        <w:t>preaccidente</w:t>
      </w:r>
      <w:proofErr w:type="spellEnd"/>
      <w:r w:rsidRPr="00090C5C">
        <w:t>) vs. enfoque mitigativo (</w:t>
      </w:r>
      <w:proofErr w:type="spellStart"/>
      <w:r w:rsidRPr="00090C5C">
        <w:t>postaccidente</w:t>
      </w:r>
      <w:proofErr w:type="spellEnd"/>
      <w:r w:rsidRPr="00090C5C">
        <w:t xml:space="preserve">). </w:t>
      </w:r>
    </w:p>
    <w:p w14:paraId="2A0C5561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Gráfico de dos carriles temporales: evolución de sucesos operacionales frente a salvaguardas y barreras de contención. </w:t>
      </w:r>
    </w:p>
    <w:p w14:paraId="08F7608F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Caso histórico de falla en capas de protección: Desastre de Bhopal. </w:t>
      </w:r>
    </w:p>
    <w:p w14:paraId="5671C284" w14:textId="77777777" w:rsidR="00090C5C" w:rsidRPr="00090C5C" w:rsidRDefault="00090C5C" w:rsidP="00090C5C">
      <w:pPr>
        <w:jc w:val="both"/>
        <w:rPr>
          <w:b/>
          <w:bCs/>
        </w:rPr>
      </w:pPr>
      <w:r w:rsidRPr="00090C5C">
        <w:rPr>
          <w:b/>
          <w:bCs/>
        </w:rPr>
        <w:t>Módulo II: Metodología y Procedimiento de Construcción del ETA</w:t>
      </w:r>
    </w:p>
    <w:p w14:paraId="654019EB" w14:textId="77777777" w:rsidR="00090C5C" w:rsidRPr="00090C5C" w:rsidRDefault="00090C5C" w:rsidP="00090C5C">
      <w:pPr>
        <w:numPr>
          <w:ilvl w:val="0"/>
          <w:numId w:val="5"/>
        </w:numPr>
        <w:jc w:val="both"/>
      </w:pPr>
      <w:r w:rsidRPr="00090C5C">
        <w:rPr>
          <w:b/>
          <w:bCs/>
        </w:rPr>
        <w:t>Procedimiento de Análisis Paso a Paso</w:t>
      </w:r>
    </w:p>
    <w:p w14:paraId="00018980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1: Definición de límites y condiciones de proceso (P&amp;ID, hojas de datos). </w:t>
      </w:r>
    </w:p>
    <w:p w14:paraId="0B1C3B48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2: Definición del alcance y criterios de aceptabilidad del riesgo. </w:t>
      </w:r>
    </w:p>
    <w:p w14:paraId="06D1FF0F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3: Identificación de sucesos iniciadores (HAZOP, FMEA, bases de datos). </w:t>
      </w:r>
    </w:p>
    <w:p w14:paraId="4D946C6C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4: Definición cronológica de barreras y capas de seguridad (IPL). </w:t>
      </w:r>
    </w:p>
    <w:p w14:paraId="577B6173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5: Construcción de ramas y respuestas dicotómicas (éxito/fracaso). </w:t>
      </w:r>
    </w:p>
    <w:p w14:paraId="1355B5EF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Paso 6: Estimación cuantitativa de probabilidades condicionales por secuencia. </w:t>
      </w:r>
    </w:p>
    <w:p w14:paraId="2FC0A6B2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lastRenderedPageBreak/>
        <w:t xml:space="preserve">Paso 7: Cuantificación, agrupación de consecuencias de riesgo y medidas correctoras. </w:t>
      </w:r>
    </w:p>
    <w:p w14:paraId="6975276E" w14:textId="77777777" w:rsidR="00090C5C" w:rsidRPr="00090C5C" w:rsidRDefault="00090C5C" w:rsidP="00090C5C">
      <w:pPr>
        <w:numPr>
          <w:ilvl w:val="0"/>
          <w:numId w:val="5"/>
        </w:numPr>
        <w:jc w:val="both"/>
      </w:pPr>
      <w:r w:rsidRPr="00090C5C">
        <w:rPr>
          <w:b/>
          <w:bCs/>
        </w:rPr>
        <w:t>Formulación Matemática y Reglas de Verificación</w:t>
      </w:r>
    </w:p>
    <w:p w14:paraId="7DACE3DE" w14:textId="266C8333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Cálculo de probabilidad de secuencia accidental: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Seq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IE</m:t>
            </m:r>
          </m:e>
        </m:d>
        <m:r>
          <m:rPr>
            <m:sty m:val="p"/>
          </m:rPr>
          <w:rPr>
            <w:rFonts w:ascii="Cambria Math" w:hAnsi="Cambria Math"/>
          </w:rPr>
          <m:t>×</m:t>
        </m:r>
        <m:nary>
          <m:naryPr>
            <m:chr m:val="∏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P</m:t>
            </m:r>
          </m:e>
        </m:nary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Barrera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</m:oMath>
      <w:r w:rsidRPr="00090C5C">
        <w:t xml:space="preserve">. </w:t>
      </w:r>
    </w:p>
    <w:p w14:paraId="04F69CB4" w14:textId="688750C2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Frecuencia/probabilidad acumulada por consecuencia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 w:rsidRPr="00090C5C">
        <w:t xml:space="preserve">). </w:t>
      </w:r>
    </w:p>
    <w:p w14:paraId="3822805B" w14:textId="3B252BC9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Comprobación del cierre estocástico: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P</m:t>
            </m:r>
          </m:e>
        </m:nary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Seq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IE</m:t>
            </m:r>
          </m:e>
        </m:d>
      </m:oMath>
      <w:r w:rsidRPr="00090C5C">
        <w:t xml:space="preserve">. </w:t>
      </w:r>
    </w:p>
    <w:p w14:paraId="6A463DD5" w14:textId="77777777" w:rsidR="00090C5C" w:rsidRPr="00090C5C" w:rsidRDefault="00090C5C" w:rsidP="00090C5C">
      <w:pPr>
        <w:jc w:val="both"/>
        <w:rPr>
          <w:b/>
          <w:bCs/>
        </w:rPr>
      </w:pPr>
      <w:r w:rsidRPr="00090C5C">
        <w:rPr>
          <w:b/>
          <w:bCs/>
        </w:rPr>
        <w:t>Módulo III: Caso de Práctica – Depósito de Disolvente</w:t>
      </w:r>
    </w:p>
    <w:p w14:paraId="23BF09CB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Definición y Alcance del Caso Práctico</w:t>
      </w:r>
    </w:p>
    <w:p w14:paraId="68DEED62" w14:textId="2A60E64F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Descripción del proceso de trasiego: Tanque nodriza D2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 w:rsidRPr="00090C5C">
        <w:t xml:space="preserve"> Tanque de proceso D1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 w:rsidRPr="00090C5C">
        <w:t xml:space="preserve"> Tanque de vertido seguro D3. </w:t>
      </w:r>
    </w:p>
    <w:p w14:paraId="4F66364F" w14:textId="2B48484C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Suceso iniciador considerado: Sobrellenado en el depósito D1 (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=0,025</m:t>
        </m:r>
      </m:oMath>
      <w:r w:rsidRPr="00090C5C">
        <w:t xml:space="preserve">). </w:t>
      </w:r>
    </w:p>
    <w:p w14:paraId="35466B12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Matriz de Confiabilidad Inicial de Componentes</w:t>
      </w:r>
    </w:p>
    <w:p w14:paraId="6031C6FD" w14:textId="4F28506A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Probabilidades de falla en demanda (</w:t>
      </w:r>
      <m:oMath>
        <m:r>
          <w:rPr>
            <w:rFonts w:ascii="Cambria Math" w:hAnsi="Cambria Math"/>
          </w:rPr>
          <m:t>PFD</m:t>
        </m:r>
      </m:oMath>
      <w:r w:rsidRPr="00090C5C">
        <w:t>) y error humano (</w:t>
      </w:r>
      <m:oMath>
        <m:r>
          <w:rPr>
            <w:rFonts w:ascii="Cambria Math" w:hAnsi="Cambria Math"/>
          </w:rPr>
          <m:t>HEP</m:t>
        </m:r>
      </m:oMath>
      <w:r w:rsidRPr="00090C5C">
        <w:t xml:space="preserve">) según estándares CCPS, OREDA y THERP/NTP 878. </w:t>
      </w:r>
    </w:p>
    <w:p w14:paraId="0625208C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Desarrollo del Árbol de Sucesos del Sistema Base (Original)</w:t>
      </w:r>
    </w:p>
    <w:p w14:paraId="0FDDE985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Desglose de secuencias operacionales (11 ramas resultantes). </w:t>
      </w:r>
    </w:p>
    <w:p w14:paraId="7231E8A0" w14:textId="68A3A1CE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Cuantificación de secuencias críticas con riesgo de derrame incontrolado en nave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9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11</m:t>
            </m:r>
          </m:sub>
        </m:sSub>
      </m:oMath>
      <w:r w:rsidRPr="00090C5C">
        <w:t xml:space="preserve">). </w:t>
      </w:r>
    </w:p>
    <w:p w14:paraId="0EA27C43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Verificación del cierre estocástico del modelo inicial. </w:t>
      </w:r>
    </w:p>
    <w:p w14:paraId="4B5C946C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Propuesta y Evaluación de Medidas Correctoras</w:t>
      </w:r>
    </w:p>
    <w:p w14:paraId="506466E4" w14:textId="1603A0DC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>Análisis técnico de mejoras: segundo transmisor redundante (</w:t>
      </w:r>
      <m:oMath>
        <m:r>
          <w:rPr>
            <w:rFonts w:ascii="Cambria Math" w:hAnsi="Cambria Math"/>
          </w:rPr>
          <m:t>L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00090C5C">
        <w:t xml:space="preserve">), segundo rebosadero por gravedad y procedimiento de bloqueo LOTO. </w:t>
      </w:r>
    </w:p>
    <w:p w14:paraId="4D17A5C0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Matriz de costo-beneficio de barreras de seguridad. </w:t>
      </w:r>
    </w:p>
    <w:p w14:paraId="3FBC1154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Árbol de Sucesos Mejorado y Comparativa de Riesgo Remanente</w:t>
      </w:r>
    </w:p>
    <w:p w14:paraId="4684FF0D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Reestructuración del árbol con nuevas capas de protección independientes. </w:t>
      </w:r>
    </w:p>
    <w:p w14:paraId="72A4AB88" w14:textId="49E966C0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Reducción cuantitativa del riesgo. </w:t>
      </w:r>
    </w:p>
    <w:p w14:paraId="142B3E52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lastRenderedPageBreak/>
        <w:t>Evaluación Financiera y Justificación ALARP</w:t>
      </w:r>
    </w:p>
    <w:p w14:paraId="41DFFC50" w14:textId="4F356F0F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Estimación de daños materiales directos y remediación ambiental. </w:t>
      </w:r>
    </w:p>
    <w:p w14:paraId="3CA88C2D" w14:textId="1DA0BF43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Lucro cesante y afectación por interrupción del negocio. </w:t>
      </w:r>
    </w:p>
    <w:p w14:paraId="5E3D5E0E" w14:textId="46243A0C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Consolidado financiero de siniestro frente al CAPEX/OPEX de prevención, validando un retorno sobre la reducción del riesgo superior a 100:1. </w:t>
      </w:r>
    </w:p>
    <w:p w14:paraId="18D0EEBC" w14:textId="77777777" w:rsidR="00090C5C" w:rsidRPr="00090C5C" w:rsidRDefault="00090C5C" w:rsidP="00090C5C">
      <w:pPr>
        <w:numPr>
          <w:ilvl w:val="0"/>
          <w:numId w:val="6"/>
        </w:numPr>
        <w:jc w:val="both"/>
      </w:pPr>
      <w:r w:rsidRPr="00090C5C">
        <w:rPr>
          <w:b/>
          <w:bCs/>
        </w:rPr>
        <w:t>Conclusiones y Cierre</w:t>
      </w:r>
    </w:p>
    <w:p w14:paraId="0E94BF88" w14:textId="77777777" w:rsidR="00090C5C" w:rsidRPr="00090C5C" w:rsidRDefault="00090C5C" w:rsidP="00090C5C">
      <w:pPr>
        <w:numPr>
          <w:ilvl w:val="1"/>
          <w:numId w:val="4"/>
        </w:numPr>
        <w:tabs>
          <w:tab w:val="clear" w:pos="1080"/>
          <w:tab w:val="num" w:pos="720"/>
        </w:tabs>
        <w:ind w:left="709"/>
        <w:jc w:val="both"/>
      </w:pPr>
      <w:r w:rsidRPr="00090C5C">
        <w:t xml:space="preserve">Resumen ejecutivo y datos de contacto del instructor. </w:t>
      </w:r>
    </w:p>
    <w:p w14:paraId="6B4F356B" w14:textId="00BECEB0" w:rsidR="00090C5C" w:rsidRPr="00090C5C" w:rsidRDefault="00090C5C" w:rsidP="00090C5C">
      <w:pPr>
        <w:jc w:val="both"/>
        <w:rPr>
          <w:b/>
          <w:bCs/>
        </w:rPr>
      </w:pPr>
      <w:r w:rsidRPr="00090C5C">
        <w:rPr>
          <w:b/>
          <w:bCs/>
        </w:rPr>
        <w:t>Módulo I</w:t>
      </w:r>
      <w:r>
        <w:rPr>
          <w:b/>
          <w:bCs/>
        </w:rPr>
        <w:t>V</w:t>
      </w:r>
      <w:r w:rsidRPr="00090C5C">
        <w:rPr>
          <w:b/>
          <w:bCs/>
        </w:rPr>
        <w:t xml:space="preserve">: Caso de Práctica – </w:t>
      </w:r>
      <w:r>
        <w:rPr>
          <w:b/>
          <w:bCs/>
        </w:rPr>
        <w:t>Estación de Servicio</w:t>
      </w:r>
    </w:p>
    <w:p w14:paraId="62F4F220" w14:textId="77777777" w:rsidR="00BC2945" w:rsidRDefault="00BC2945" w:rsidP="00090C5C">
      <w:pPr>
        <w:jc w:val="both"/>
      </w:pPr>
    </w:p>
    <w:sectPr w:rsidR="00BC29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14FBB"/>
    <w:multiLevelType w:val="multilevel"/>
    <w:tmpl w:val="E326C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4B361450"/>
    <w:multiLevelType w:val="multilevel"/>
    <w:tmpl w:val="A4864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E593C"/>
    <w:multiLevelType w:val="multilevel"/>
    <w:tmpl w:val="340E5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DCF2357"/>
    <w:multiLevelType w:val="multilevel"/>
    <w:tmpl w:val="0E5ADC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452711"/>
    <w:multiLevelType w:val="multilevel"/>
    <w:tmpl w:val="CF466D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F96432"/>
    <w:multiLevelType w:val="multilevel"/>
    <w:tmpl w:val="6C8EF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num w:numId="1" w16cid:durableId="1645889592">
    <w:abstractNumId w:val="1"/>
  </w:num>
  <w:num w:numId="2" w16cid:durableId="1465654320">
    <w:abstractNumId w:val="3"/>
  </w:num>
  <w:num w:numId="3" w16cid:durableId="2089768005">
    <w:abstractNumId w:val="4"/>
  </w:num>
  <w:num w:numId="4" w16cid:durableId="881985114">
    <w:abstractNumId w:val="2"/>
  </w:num>
  <w:num w:numId="5" w16cid:durableId="1473597793">
    <w:abstractNumId w:val="0"/>
  </w:num>
  <w:num w:numId="6" w16cid:durableId="5433691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5C"/>
    <w:rsid w:val="00090C5C"/>
    <w:rsid w:val="00174492"/>
    <w:rsid w:val="002B4044"/>
    <w:rsid w:val="003A1259"/>
    <w:rsid w:val="006F250F"/>
    <w:rsid w:val="00BC2945"/>
    <w:rsid w:val="00FA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82E"/>
  <w15:chartTrackingRefBased/>
  <w15:docId w15:val="{F88EA748-28D6-4CB7-A419-3BEE9828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0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0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90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0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0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0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0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0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0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0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0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90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0C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0C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0C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0C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0C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0C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0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0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0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0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0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0C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0C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0C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0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0C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0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503</Words>
  <Characters>2929</Characters>
  <Application>Microsoft Office Word</Application>
  <DocSecurity>0</DocSecurity>
  <Lines>139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Cubero Vargas</dc:creator>
  <cp:keywords/>
  <dc:description/>
  <cp:lastModifiedBy>Samuel Cubero Vargas</cp:lastModifiedBy>
  <cp:revision>1</cp:revision>
  <dcterms:created xsi:type="dcterms:W3CDTF">2026-10-06T16:06:00Z</dcterms:created>
  <dcterms:modified xsi:type="dcterms:W3CDTF">2026-10-06T16:30:00Z</dcterms:modified>
</cp:coreProperties>
</file>